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B2070F" w14:textId="77777777" w:rsidR="0000772D" w:rsidRDefault="0000772D" w:rsidP="0000772D">
      <w:pPr>
        <w:pStyle w:val="Ttulo2"/>
        <w:spacing w:before="0" w:beforeAutospacing="0" w:after="0" w:afterAutospacing="0"/>
        <w:rPr>
          <w:rFonts w:ascii="Calibri" w:hAnsi="Calibri" w:cs="Calibri"/>
          <w:color w:val="004080"/>
          <w:sz w:val="27"/>
          <w:szCs w:val="27"/>
        </w:rPr>
      </w:pPr>
      <w:r>
        <w:rPr>
          <w:rFonts w:ascii="Calibri" w:hAnsi="Calibri" w:cs="Calibri"/>
          <w:color w:val="004080"/>
          <w:sz w:val="27"/>
          <w:szCs w:val="27"/>
        </w:rPr>
        <w:t>DISPOSICION C.A. 6/20</w:t>
      </w:r>
      <w:r>
        <w:rPr>
          <w:rFonts w:ascii="Calibri" w:hAnsi="Calibri" w:cs="Calibri"/>
          <w:color w:val="004080"/>
          <w:sz w:val="27"/>
          <w:szCs w:val="27"/>
        </w:rPr>
        <w:br/>
        <w:t>Buenos Aires, 14 de octubre de 2020</w:t>
      </w:r>
      <w:r>
        <w:rPr>
          <w:rFonts w:ascii="Calibri" w:hAnsi="Calibri" w:cs="Calibri"/>
          <w:color w:val="004080"/>
          <w:sz w:val="27"/>
          <w:szCs w:val="27"/>
        </w:rPr>
        <w:br/>
        <w:t>B.O.: 21/10/20</w:t>
      </w:r>
      <w:r>
        <w:rPr>
          <w:rFonts w:ascii="Calibri" w:hAnsi="Calibri" w:cs="Calibri"/>
          <w:color w:val="004080"/>
          <w:sz w:val="27"/>
          <w:szCs w:val="27"/>
        </w:rPr>
        <w:br/>
        <w:t>Vigencia: 21/10/20</w:t>
      </w:r>
    </w:p>
    <w:p w14:paraId="4CC5B7FE" w14:textId="77777777" w:rsidR="0000772D" w:rsidRDefault="0000772D" w:rsidP="0000772D">
      <w:pPr>
        <w:pStyle w:val="copete"/>
        <w:spacing w:before="0" w:beforeAutospacing="0" w:after="0" w:afterAutospacing="0" w:line="300" w:lineRule="atLeast"/>
        <w:rPr>
          <w:rFonts w:ascii="Calibri" w:hAnsi="Calibri" w:cs="Calibri"/>
          <w:b/>
          <w:bCs/>
          <w:color w:val="555555"/>
          <w:sz w:val="21"/>
          <w:szCs w:val="21"/>
        </w:rPr>
      </w:pPr>
      <w:r>
        <w:rPr>
          <w:rFonts w:ascii="Calibri" w:hAnsi="Calibri" w:cs="Calibri"/>
          <w:b/>
          <w:bCs/>
          <w:color w:val="555555"/>
          <w:sz w:val="21"/>
          <w:szCs w:val="21"/>
        </w:rPr>
        <w:t>Convenio Multilateral. Mesa de Entradas Virtual de la Comisión Arbitral. </w:t>
      </w:r>
      <w:hyperlink r:id="rId4" w:tgtFrame="_blank" w:history="1">
        <w:r>
          <w:rPr>
            <w:rStyle w:val="Hipervnculo"/>
            <w:rFonts w:ascii="Calibri" w:hAnsi="Calibri" w:cs="Calibri"/>
            <w:b/>
            <w:bCs/>
            <w:color w:val="0000B7"/>
            <w:sz w:val="21"/>
            <w:szCs w:val="21"/>
            <w:u w:val="none"/>
          </w:rPr>
          <w:t>Res. Gral. C.A. 10/20</w:t>
        </w:r>
      </w:hyperlink>
      <w:r>
        <w:rPr>
          <w:rFonts w:ascii="Calibri" w:hAnsi="Calibri" w:cs="Calibri"/>
          <w:b/>
          <w:bCs/>
          <w:color w:val="555555"/>
          <w:sz w:val="21"/>
          <w:szCs w:val="21"/>
        </w:rPr>
        <w:t>. Su reglamentación.</w:t>
      </w:r>
    </w:p>
    <w:p w14:paraId="58307A8A" w14:textId="77777777" w:rsidR="0000772D" w:rsidRDefault="0000772D" w:rsidP="0000772D">
      <w:pPr>
        <w:pStyle w:val="NormalWeb"/>
        <w:spacing w:before="240" w:beforeAutospacing="0" w:after="240" w:afterAutospacing="0" w:line="300" w:lineRule="atLeast"/>
        <w:rPr>
          <w:rFonts w:ascii="Calibri" w:hAnsi="Calibri" w:cs="Calibri"/>
          <w:color w:val="555555"/>
          <w:sz w:val="21"/>
          <w:szCs w:val="21"/>
        </w:rPr>
      </w:pPr>
      <w:r>
        <w:rPr>
          <w:rFonts w:ascii="Calibri" w:hAnsi="Calibri" w:cs="Calibri"/>
          <w:color w:val="555555"/>
          <w:sz w:val="21"/>
          <w:szCs w:val="21"/>
        </w:rPr>
        <w:t>VISTO y CONSIDERANDO:</w:t>
      </w:r>
    </w:p>
    <w:p w14:paraId="56D9F638" w14:textId="77777777" w:rsidR="0000772D" w:rsidRDefault="0000772D" w:rsidP="0000772D">
      <w:pPr>
        <w:pStyle w:val="NormalWeb"/>
        <w:spacing w:before="240" w:beforeAutospacing="0" w:after="240" w:afterAutospacing="0" w:line="300" w:lineRule="atLeast"/>
        <w:rPr>
          <w:rFonts w:ascii="Calibri" w:hAnsi="Calibri" w:cs="Calibri"/>
          <w:color w:val="555555"/>
          <w:sz w:val="21"/>
          <w:szCs w:val="21"/>
        </w:rPr>
      </w:pPr>
      <w:r>
        <w:rPr>
          <w:rFonts w:ascii="Calibri" w:hAnsi="Calibri" w:cs="Calibri"/>
          <w:color w:val="555555"/>
          <w:sz w:val="21"/>
          <w:szCs w:val="21"/>
        </w:rPr>
        <w:t>Que la Res. Gral. C.A. 10/20 creó la Mesa de Entradas Virtual de la Comisión Arbitral con los mismos alcances y efectos que la Mesa de Entradas presencial del organismo.</w:t>
      </w:r>
    </w:p>
    <w:p w14:paraId="02C7A661" w14:textId="77777777" w:rsidR="0000772D" w:rsidRDefault="0000772D" w:rsidP="0000772D">
      <w:pPr>
        <w:pStyle w:val="NormalWeb"/>
        <w:spacing w:before="240" w:beforeAutospacing="0" w:after="240" w:afterAutospacing="0" w:line="300" w:lineRule="atLeast"/>
        <w:rPr>
          <w:rFonts w:ascii="Calibri" w:hAnsi="Calibri" w:cs="Calibri"/>
          <w:color w:val="555555"/>
          <w:sz w:val="21"/>
          <w:szCs w:val="21"/>
        </w:rPr>
      </w:pPr>
      <w:r>
        <w:rPr>
          <w:rFonts w:ascii="Calibri" w:hAnsi="Calibri" w:cs="Calibri"/>
          <w:color w:val="555555"/>
          <w:sz w:val="21"/>
          <w:szCs w:val="21"/>
        </w:rPr>
        <w:t>Que el art. 5 de dicha resolución general faculta al presidente de la Comisión Arbitral a reglar su funcionamiento y, a su vez, mediante el art. 6 se establece que su uso comenzará a regir a los diez días corridos de la publicación de la presente.</w:t>
      </w:r>
    </w:p>
    <w:p w14:paraId="40467728" w14:textId="77777777" w:rsidR="0000772D" w:rsidRDefault="0000772D" w:rsidP="0000772D">
      <w:pPr>
        <w:pStyle w:val="NormalWeb"/>
        <w:spacing w:before="240" w:beforeAutospacing="0" w:after="240" w:afterAutospacing="0" w:line="300" w:lineRule="atLeast"/>
        <w:rPr>
          <w:rFonts w:ascii="Calibri" w:hAnsi="Calibri" w:cs="Calibri"/>
          <w:color w:val="555555"/>
          <w:sz w:val="21"/>
          <w:szCs w:val="21"/>
        </w:rPr>
      </w:pPr>
      <w:r>
        <w:rPr>
          <w:rFonts w:ascii="Calibri" w:hAnsi="Calibri" w:cs="Calibri"/>
          <w:color w:val="555555"/>
          <w:sz w:val="21"/>
          <w:szCs w:val="21"/>
        </w:rPr>
        <w:t xml:space="preserve">Que la Comisión Plenaria ha incorporado al Reglamento Procesal (Res. Com. </w:t>
      </w:r>
      <w:proofErr w:type="spellStart"/>
      <w:r>
        <w:rPr>
          <w:rFonts w:ascii="Calibri" w:hAnsi="Calibri" w:cs="Calibri"/>
          <w:color w:val="555555"/>
          <w:sz w:val="21"/>
          <w:szCs w:val="21"/>
        </w:rPr>
        <w:t>Plen</w:t>
      </w:r>
      <w:proofErr w:type="spellEnd"/>
      <w:r>
        <w:rPr>
          <w:rFonts w:ascii="Calibri" w:hAnsi="Calibri" w:cs="Calibri"/>
          <w:color w:val="555555"/>
          <w:sz w:val="21"/>
          <w:szCs w:val="21"/>
        </w:rPr>
        <w:t xml:space="preserve">. 29/20) para las actuaciones ante la Comisión Arbitral y la Comisión Plenaria, el uso de la Mesa de Entradas Virtual y la ampliación del Sistema de Notificaciones por Medios Electrónicos para Municipios, contribuyentes y asociaciones reconocidas (Res. Com. </w:t>
      </w:r>
      <w:proofErr w:type="spellStart"/>
      <w:r>
        <w:rPr>
          <w:rFonts w:ascii="Calibri" w:hAnsi="Calibri" w:cs="Calibri"/>
          <w:color w:val="555555"/>
          <w:sz w:val="21"/>
          <w:szCs w:val="21"/>
        </w:rPr>
        <w:t>Plen</w:t>
      </w:r>
      <w:proofErr w:type="spellEnd"/>
      <w:r>
        <w:rPr>
          <w:rFonts w:ascii="Calibri" w:hAnsi="Calibri" w:cs="Calibri"/>
          <w:color w:val="555555"/>
          <w:sz w:val="21"/>
          <w:szCs w:val="21"/>
        </w:rPr>
        <w:t>. 28/20).</w:t>
      </w:r>
    </w:p>
    <w:p w14:paraId="6A5621E8" w14:textId="77777777" w:rsidR="0000772D" w:rsidRDefault="0000772D" w:rsidP="0000772D">
      <w:pPr>
        <w:pStyle w:val="NormalWeb"/>
        <w:spacing w:before="240" w:beforeAutospacing="0" w:after="240" w:afterAutospacing="0" w:line="300" w:lineRule="atLeast"/>
        <w:rPr>
          <w:rFonts w:ascii="Calibri" w:hAnsi="Calibri" w:cs="Calibri"/>
          <w:color w:val="555555"/>
          <w:sz w:val="21"/>
          <w:szCs w:val="21"/>
        </w:rPr>
      </w:pPr>
      <w:r>
        <w:rPr>
          <w:rFonts w:ascii="Calibri" w:hAnsi="Calibri" w:cs="Calibri"/>
          <w:color w:val="555555"/>
          <w:sz w:val="21"/>
          <w:szCs w:val="21"/>
        </w:rPr>
        <w:t>Por ello,</w:t>
      </w:r>
    </w:p>
    <w:p w14:paraId="055FB31A" w14:textId="77777777" w:rsidR="0000772D" w:rsidRDefault="0000772D" w:rsidP="0000772D">
      <w:pPr>
        <w:pStyle w:val="NormalWeb"/>
        <w:spacing w:before="0" w:beforeAutospacing="0" w:after="0" w:afterAutospacing="0" w:line="300" w:lineRule="atLeast"/>
        <w:rPr>
          <w:rFonts w:ascii="Calibri" w:hAnsi="Calibri" w:cs="Calibri"/>
          <w:color w:val="555555"/>
          <w:sz w:val="21"/>
          <w:szCs w:val="21"/>
        </w:rPr>
      </w:pPr>
      <w:r>
        <w:rPr>
          <w:rFonts w:ascii="Calibri" w:hAnsi="Calibri" w:cs="Calibri"/>
          <w:color w:val="555555"/>
          <w:sz w:val="21"/>
          <w:szCs w:val="21"/>
        </w:rPr>
        <w:t>EL PRESIDENTE DE LA COMISION ARBITRAL</w:t>
      </w:r>
      <w:r>
        <w:rPr>
          <w:rFonts w:ascii="Calibri" w:hAnsi="Calibri" w:cs="Calibri"/>
          <w:color w:val="555555"/>
          <w:sz w:val="21"/>
          <w:szCs w:val="21"/>
        </w:rPr>
        <w:br/>
        <w:t>(Convenio Multilateral del 18/8/77)</w:t>
      </w:r>
      <w:r>
        <w:rPr>
          <w:rFonts w:ascii="Calibri" w:hAnsi="Calibri" w:cs="Calibri"/>
          <w:color w:val="555555"/>
          <w:sz w:val="21"/>
          <w:szCs w:val="21"/>
        </w:rPr>
        <w:br/>
        <w:t>DISPONE:</w:t>
      </w:r>
    </w:p>
    <w:p w14:paraId="43669C8D" w14:textId="77777777" w:rsidR="0000772D" w:rsidRDefault="0000772D" w:rsidP="0000772D">
      <w:pPr>
        <w:pStyle w:val="NormalWeb"/>
        <w:spacing w:before="0" w:beforeAutospacing="0" w:after="0" w:afterAutospacing="0" w:line="300" w:lineRule="atLeast"/>
        <w:rPr>
          <w:rFonts w:ascii="Calibri" w:hAnsi="Calibri" w:cs="Calibri"/>
          <w:color w:val="555555"/>
          <w:sz w:val="21"/>
          <w:szCs w:val="21"/>
        </w:rPr>
      </w:pPr>
      <w:r>
        <w:rPr>
          <w:rStyle w:val="Textoennegrita"/>
          <w:rFonts w:ascii="Calibri" w:hAnsi="Calibri" w:cs="Calibri"/>
          <w:color w:val="555555"/>
          <w:sz w:val="21"/>
          <w:szCs w:val="21"/>
        </w:rPr>
        <w:t>Art. 1</w:t>
      </w:r>
      <w:r>
        <w:rPr>
          <w:rFonts w:ascii="Calibri" w:hAnsi="Calibri" w:cs="Calibri"/>
          <w:color w:val="555555"/>
          <w:sz w:val="21"/>
          <w:szCs w:val="21"/>
        </w:rPr>
        <w:t> – La Mesa de Entradas Virtual de la Comisión Arbitral (MEV), aprobada por la Res. Gral. C.A. 10/20, funcionará de la siguiente manera:</w:t>
      </w:r>
    </w:p>
    <w:p w14:paraId="5290983A" w14:textId="77777777" w:rsidR="0000772D" w:rsidRDefault="0000772D" w:rsidP="0000772D">
      <w:pPr>
        <w:pStyle w:val="NormalWeb"/>
        <w:spacing w:before="240" w:beforeAutospacing="0" w:after="240" w:afterAutospacing="0" w:line="300" w:lineRule="atLeast"/>
        <w:rPr>
          <w:rFonts w:ascii="Calibri" w:hAnsi="Calibri" w:cs="Calibri"/>
          <w:color w:val="555555"/>
          <w:sz w:val="21"/>
          <w:szCs w:val="21"/>
        </w:rPr>
      </w:pPr>
      <w:r>
        <w:rPr>
          <w:rFonts w:ascii="Calibri" w:hAnsi="Calibri" w:cs="Calibri"/>
          <w:color w:val="555555"/>
          <w:sz w:val="21"/>
          <w:szCs w:val="21"/>
        </w:rPr>
        <w:t>a) Para contribuyentes, Municipalidades y asociaciones reconocidas, proveedores y personas en general, a través del sistema “</w:t>
      </w:r>
      <w:proofErr w:type="spellStart"/>
      <w:r>
        <w:rPr>
          <w:rFonts w:ascii="Calibri" w:hAnsi="Calibri" w:cs="Calibri"/>
          <w:color w:val="555555"/>
          <w:sz w:val="21"/>
          <w:szCs w:val="21"/>
        </w:rPr>
        <w:t>SiFeRe</w:t>
      </w:r>
      <w:proofErr w:type="spellEnd"/>
      <w:r>
        <w:rPr>
          <w:rFonts w:ascii="Calibri" w:hAnsi="Calibri" w:cs="Calibri"/>
          <w:color w:val="555555"/>
          <w:sz w:val="21"/>
          <w:szCs w:val="21"/>
        </w:rPr>
        <w:t xml:space="preserve"> Web - Consultas”, al que se accederá por medio del sitio web http://www.sifereweb.gob.ar (servicio “Convenio Multilateral - </w:t>
      </w:r>
      <w:proofErr w:type="spellStart"/>
      <w:r>
        <w:rPr>
          <w:rFonts w:ascii="Calibri" w:hAnsi="Calibri" w:cs="Calibri"/>
          <w:color w:val="555555"/>
          <w:sz w:val="21"/>
          <w:szCs w:val="21"/>
        </w:rPr>
        <w:t>SiFeRe</w:t>
      </w:r>
      <w:proofErr w:type="spellEnd"/>
      <w:r>
        <w:rPr>
          <w:rFonts w:ascii="Calibri" w:hAnsi="Calibri" w:cs="Calibri"/>
          <w:color w:val="555555"/>
          <w:sz w:val="21"/>
          <w:szCs w:val="21"/>
        </w:rPr>
        <w:t xml:space="preserve"> Web - Consultas”):</w:t>
      </w:r>
    </w:p>
    <w:p w14:paraId="102CBC18" w14:textId="77777777" w:rsidR="0000772D" w:rsidRDefault="0000772D" w:rsidP="0000772D">
      <w:pPr>
        <w:pStyle w:val="NormalWeb"/>
        <w:spacing w:before="240" w:beforeAutospacing="0" w:after="240" w:afterAutospacing="0" w:line="300" w:lineRule="atLeast"/>
        <w:rPr>
          <w:rFonts w:ascii="Calibri" w:hAnsi="Calibri" w:cs="Calibri"/>
          <w:color w:val="555555"/>
          <w:sz w:val="21"/>
          <w:szCs w:val="21"/>
        </w:rPr>
      </w:pPr>
      <w:r>
        <w:rPr>
          <w:rFonts w:ascii="Calibri" w:hAnsi="Calibri" w:cs="Calibri"/>
          <w:color w:val="555555"/>
          <w:sz w:val="21"/>
          <w:szCs w:val="21"/>
        </w:rPr>
        <w:t xml:space="preserve">1. En caso de no estar adherido al servicio </w:t>
      </w:r>
      <w:proofErr w:type="spellStart"/>
      <w:r>
        <w:rPr>
          <w:rFonts w:ascii="Calibri" w:hAnsi="Calibri" w:cs="Calibri"/>
          <w:color w:val="555555"/>
          <w:sz w:val="21"/>
          <w:szCs w:val="21"/>
        </w:rPr>
        <w:t>SiFeRe</w:t>
      </w:r>
      <w:proofErr w:type="spellEnd"/>
      <w:r>
        <w:rPr>
          <w:rFonts w:ascii="Calibri" w:hAnsi="Calibri" w:cs="Calibri"/>
          <w:color w:val="555555"/>
          <w:sz w:val="21"/>
          <w:szCs w:val="21"/>
        </w:rPr>
        <w:t xml:space="preserve"> Web - Consultas, el presentante deberá ingresar, por única vez, a la página de A.F.I.P. con Clave Fiscal - servicios administrativos Clave Fiscal + administrador de relaciones + adherir servicio + Comisión Arbitral + servicios interactivos + Convenio Multilateral </w:t>
      </w:r>
      <w:proofErr w:type="spellStart"/>
      <w:r>
        <w:rPr>
          <w:rFonts w:ascii="Calibri" w:hAnsi="Calibri" w:cs="Calibri"/>
          <w:color w:val="555555"/>
          <w:sz w:val="21"/>
          <w:szCs w:val="21"/>
        </w:rPr>
        <w:t>SiFeRe</w:t>
      </w:r>
      <w:proofErr w:type="spellEnd"/>
      <w:r>
        <w:rPr>
          <w:rFonts w:ascii="Calibri" w:hAnsi="Calibri" w:cs="Calibri"/>
          <w:color w:val="555555"/>
          <w:sz w:val="21"/>
          <w:szCs w:val="21"/>
        </w:rPr>
        <w:t xml:space="preserve"> Web Consultas + confirmar.</w:t>
      </w:r>
    </w:p>
    <w:p w14:paraId="1F38A216" w14:textId="77777777" w:rsidR="0000772D" w:rsidRDefault="0000772D" w:rsidP="0000772D">
      <w:pPr>
        <w:pStyle w:val="NormalWeb"/>
        <w:spacing w:before="240" w:beforeAutospacing="0" w:after="240" w:afterAutospacing="0" w:line="300" w:lineRule="atLeast"/>
        <w:rPr>
          <w:rFonts w:ascii="Calibri" w:hAnsi="Calibri" w:cs="Calibri"/>
          <w:color w:val="555555"/>
          <w:sz w:val="21"/>
          <w:szCs w:val="21"/>
        </w:rPr>
      </w:pPr>
      <w:r>
        <w:rPr>
          <w:rFonts w:ascii="Calibri" w:hAnsi="Calibri" w:cs="Calibri"/>
          <w:color w:val="555555"/>
          <w:sz w:val="21"/>
          <w:szCs w:val="21"/>
        </w:rPr>
        <w:t xml:space="preserve">En el caso de sociedades que delegan el servicio en otro número de C.U.I.T. se debe proceder de la siguiente manera: el administrador de relaciones de la sociedad debe dar de alta el servicio “Convenio Multilateral - </w:t>
      </w:r>
      <w:proofErr w:type="spellStart"/>
      <w:r>
        <w:rPr>
          <w:rFonts w:ascii="Calibri" w:hAnsi="Calibri" w:cs="Calibri"/>
          <w:color w:val="555555"/>
          <w:sz w:val="21"/>
          <w:szCs w:val="21"/>
        </w:rPr>
        <w:t>SiFeRe</w:t>
      </w:r>
      <w:proofErr w:type="spellEnd"/>
      <w:r>
        <w:rPr>
          <w:rFonts w:ascii="Calibri" w:hAnsi="Calibri" w:cs="Calibri"/>
          <w:color w:val="555555"/>
          <w:sz w:val="21"/>
          <w:szCs w:val="21"/>
        </w:rPr>
        <w:t xml:space="preserve"> Web - Consultas” indicando a que C.U.I.T. se lo delega (puede ser a sí mismo o a otra persona). Por otra parte, la persona a la cual le delegaron el servicio debe aceptar tal designación también en el sitio de A.F.I.P., en el ítem “Aceptación de designación”.</w:t>
      </w:r>
    </w:p>
    <w:p w14:paraId="5AAEF6C3" w14:textId="77777777" w:rsidR="0000772D" w:rsidRDefault="0000772D" w:rsidP="0000772D">
      <w:pPr>
        <w:pStyle w:val="NormalWeb"/>
        <w:spacing w:before="240" w:beforeAutospacing="0" w:after="240" w:afterAutospacing="0" w:line="300" w:lineRule="atLeast"/>
        <w:rPr>
          <w:rFonts w:ascii="Calibri" w:hAnsi="Calibri" w:cs="Calibri"/>
          <w:color w:val="555555"/>
          <w:sz w:val="21"/>
          <w:szCs w:val="21"/>
        </w:rPr>
      </w:pPr>
      <w:r>
        <w:rPr>
          <w:rFonts w:ascii="Calibri" w:hAnsi="Calibri" w:cs="Calibri"/>
          <w:color w:val="555555"/>
          <w:sz w:val="21"/>
          <w:szCs w:val="21"/>
        </w:rPr>
        <w:t xml:space="preserve">2. El presentante deberá ingresar con su C.U.I.T. y Clave Fiscal A.F.I.P. a la página </w:t>
      </w:r>
      <w:proofErr w:type="spellStart"/>
      <w:r>
        <w:rPr>
          <w:rFonts w:ascii="Calibri" w:hAnsi="Calibri" w:cs="Calibri"/>
          <w:color w:val="555555"/>
          <w:sz w:val="21"/>
          <w:szCs w:val="21"/>
        </w:rPr>
        <w:t>SiFeRe</w:t>
      </w:r>
      <w:proofErr w:type="spellEnd"/>
      <w:r>
        <w:rPr>
          <w:rFonts w:ascii="Calibri" w:hAnsi="Calibri" w:cs="Calibri"/>
          <w:color w:val="555555"/>
          <w:sz w:val="21"/>
          <w:szCs w:val="21"/>
        </w:rPr>
        <w:t xml:space="preserve"> Web - Consultas, seleccionar “COMARB” y optar por Mesa de Entradas Virtual de la Comisión Arbitral.</w:t>
      </w:r>
    </w:p>
    <w:p w14:paraId="053D8FB4" w14:textId="77777777" w:rsidR="0000772D" w:rsidRDefault="0000772D" w:rsidP="0000772D">
      <w:pPr>
        <w:pStyle w:val="NormalWeb"/>
        <w:spacing w:before="240" w:beforeAutospacing="0" w:after="240" w:afterAutospacing="0" w:line="300" w:lineRule="atLeast"/>
        <w:rPr>
          <w:rFonts w:ascii="Calibri" w:hAnsi="Calibri" w:cs="Calibri"/>
          <w:color w:val="555555"/>
          <w:sz w:val="21"/>
          <w:szCs w:val="21"/>
        </w:rPr>
      </w:pPr>
      <w:r>
        <w:rPr>
          <w:rFonts w:ascii="Calibri" w:hAnsi="Calibri" w:cs="Calibri"/>
          <w:color w:val="555555"/>
          <w:sz w:val="21"/>
          <w:szCs w:val="21"/>
        </w:rPr>
        <w:t>b) Para las jurisdicciones provinciales y la Ciudad Autónoma de Buenos Aires, a través del sitio web de la Comisión Arbitral http://www.ca.gob.ar/ComarbData.</w:t>
      </w:r>
    </w:p>
    <w:p w14:paraId="25BE9F58" w14:textId="77777777" w:rsidR="0000772D" w:rsidRDefault="0000772D" w:rsidP="0000772D">
      <w:pPr>
        <w:pStyle w:val="NormalWeb"/>
        <w:spacing w:before="0" w:beforeAutospacing="0" w:after="0" w:afterAutospacing="0" w:line="300" w:lineRule="atLeast"/>
        <w:rPr>
          <w:rFonts w:ascii="Calibri" w:hAnsi="Calibri" w:cs="Calibri"/>
          <w:color w:val="555555"/>
          <w:sz w:val="21"/>
          <w:szCs w:val="21"/>
        </w:rPr>
      </w:pPr>
      <w:r>
        <w:rPr>
          <w:rStyle w:val="Textoennegrita"/>
          <w:rFonts w:ascii="Calibri" w:hAnsi="Calibri" w:cs="Calibri"/>
          <w:color w:val="555555"/>
          <w:sz w:val="21"/>
          <w:szCs w:val="21"/>
        </w:rPr>
        <w:t>Art. 2</w:t>
      </w:r>
      <w:r>
        <w:rPr>
          <w:rFonts w:ascii="Calibri" w:hAnsi="Calibri" w:cs="Calibri"/>
          <w:color w:val="555555"/>
          <w:sz w:val="21"/>
          <w:szCs w:val="21"/>
        </w:rPr>
        <w:t> – El servicio estará disponible para los siguientes trámites:</w:t>
      </w:r>
    </w:p>
    <w:p w14:paraId="1CF3BA3A" w14:textId="77777777" w:rsidR="0000772D" w:rsidRDefault="0000772D" w:rsidP="0000772D">
      <w:pPr>
        <w:pStyle w:val="NormalWeb"/>
        <w:spacing w:before="240" w:beforeAutospacing="0" w:after="240" w:afterAutospacing="0" w:line="300" w:lineRule="atLeast"/>
        <w:rPr>
          <w:rFonts w:ascii="Calibri" w:hAnsi="Calibri" w:cs="Calibri"/>
          <w:color w:val="555555"/>
          <w:sz w:val="21"/>
          <w:szCs w:val="21"/>
        </w:rPr>
      </w:pPr>
      <w:r>
        <w:rPr>
          <w:rFonts w:ascii="Calibri" w:hAnsi="Calibri" w:cs="Calibri"/>
          <w:color w:val="555555"/>
          <w:sz w:val="21"/>
          <w:szCs w:val="21"/>
        </w:rPr>
        <w:t>a) Presentaciones de notas.</w:t>
      </w:r>
    </w:p>
    <w:p w14:paraId="4D3C12F2" w14:textId="77777777" w:rsidR="0000772D" w:rsidRDefault="0000772D" w:rsidP="0000772D">
      <w:pPr>
        <w:pStyle w:val="NormalWeb"/>
        <w:spacing w:before="240" w:beforeAutospacing="0" w:after="240" w:afterAutospacing="0" w:line="300" w:lineRule="atLeast"/>
        <w:rPr>
          <w:rFonts w:ascii="Calibri" w:hAnsi="Calibri" w:cs="Calibri"/>
          <w:color w:val="555555"/>
          <w:sz w:val="21"/>
          <w:szCs w:val="21"/>
        </w:rPr>
      </w:pPr>
      <w:r>
        <w:rPr>
          <w:rFonts w:ascii="Calibri" w:hAnsi="Calibri" w:cs="Calibri"/>
          <w:color w:val="555555"/>
          <w:sz w:val="21"/>
          <w:szCs w:val="21"/>
        </w:rPr>
        <w:t>b) Presentaciones de casos nuevos (</w:t>
      </w:r>
      <w:proofErr w:type="spellStart"/>
      <w:r>
        <w:rPr>
          <w:rFonts w:ascii="Calibri" w:hAnsi="Calibri" w:cs="Calibri"/>
          <w:color w:val="555555"/>
          <w:sz w:val="21"/>
          <w:szCs w:val="21"/>
        </w:rPr>
        <w:t>cfme</w:t>
      </w:r>
      <w:proofErr w:type="spellEnd"/>
      <w:r>
        <w:rPr>
          <w:rFonts w:ascii="Calibri" w:hAnsi="Calibri" w:cs="Calibri"/>
          <w:color w:val="555555"/>
          <w:sz w:val="21"/>
          <w:szCs w:val="21"/>
        </w:rPr>
        <w:t>. art. 3 del Reglamento Procesal) ante la Comisión Arbitral, y toda presentación en los expedientes en trámite ante la Comisión Arbitral y la Comisión Plenaria.</w:t>
      </w:r>
    </w:p>
    <w:p w14:paraId="14AF9985" w14:textId="77777777" w:rsidR="0000772D" w:rsidRDefault="0000772D" w:rsidP="0000772D">
      <w:pPr>
        <w:pStyle w:val="NormalWeb"/>
        <w:spacing w:before="0" w:beforeAutospacing="0" w:after="0" w:afterAutospacing="0" w:line="300" w:lineRule="atLeast"/>
        <w:rPr>
          <w:rFonts w:ascii="Calibri" w:hAnsi="Calibri" w:cs="Calibri"/>
          <w:color w:val="555555"/>
          <w:sz w:val="21"/>
          <w:szCs w:val="21"/>
        </w:rPr>
      </w:pPr>
      <w:r>
        <w:rPr>
          <w:rStyle w:val="Textoennegrita"/>
          <w:rFonts w:ascii="Calibri" w:hAnsi="Calibri" w:cs="Calibri"/>
          <w:color w:val="555555"/>
          <w:sz w:val="21"/>
          <w:szCs w:val="21"/>
        </w:rPr>
        <w:t>Art. 3</w:t>
      </w:r>
      <w:r>
        <w:rPr>
          <w:rFonts w:ascii="Calibri" w:hAnsi="Calibri" w:cs="Calibri"/>
          <w:color w:val="555555"/>
          <w:sz w:val="21"/>
          <w:szCs w:val="21"/>
        </w:rPr>
        <w:t xml:space="preserve"> – A los efectos de la prosecución de los trámites iniciados conforme el inc. b) del art. 2, será necesario que el presentante adhiera al Sistema de Notificaciones por Medios Electrónicos establecido por Res. Gral. Com. </w:t>
      </w:r>
      <w:proofErr w:type="spellStart"/>
      <w:r>
        <w:rPr>
          <w:rFonts w:ascii="Calibri" w:hAnsi="Calibri" w:cs="Calibri"/>
          <w:color w:val="555555"/>
          <w:sz w:val="21"/>
          <w:szCs w:val="21"/>
        </w:rPr>
        <w:t>Plen</w:t>
      </w:r>
      <w:proofErr w:type="spellEnd"/>
      <w:r>
        <w:rPr>
          <w:rFonts w:ascii="Calibri" w:hAnsi="Calibri" w:cs="Calibri"/>
          <w:color w:val="555555"/>
          <w:sz w:val="21"/>
          <w:szCs w:val="21"/>
        </w:rPr>
        <w:t xml:space="preserve">. 8/18, modificada por Res. Com. </w:t>
      </w:r>
      <w:proofErr w:type="spellStart"/>
      <w:r>
        <w:rPr>
          <w:rFonts w:ascii="Calibri" w:hAnsi="Calibri" w:cs="Calibri"/>
          <w:color w:val="555555"/>
          <w:sz w:val="21"/>
          <w:szCs w:val="21"/>
        </w:rPr>
        <w:t>Plen</w:t>
      </w:r>
      <w:proofErr w:type="spellEnd"/>
      <w:r>
        <w:rPr>
          <w:rFonts w:ascii="Calibri" w:hAnsi="Calibri" w:cs="Calibri"/>
          <w:color w:val="555555"/>
          <w:sz w:val="21"/>
          <w:szCs w:val="21"/>
        </w:rPr>
        <w:t>. 28/20.</w:t>
      </w:r>
    </w:p>
    <w:p w14:paraId="2FA1415C" w14:textId="77777777" w:rsidR="0000772D" w:rsidRDefault="0000772D" w:rsidP="0000772D">
      <w:pPr>
        <w:pStyle w:val="NormalWeb"/>
        <w:spacing w:before="0" w:beforeAutospacing="0" w:after="0" w:afterAutospacing="0" w:line="300" w:lineRule="atLeast"/>
        <w:rPr>
          <w:rFonts w:ascii="Calibri" w:hAnsi="Calibri" w:cs="Calibri"/>
          <w:color w:val="555555"/>
          <w:sz w:val="21"/>
          <w:szCs w:val="21"/>
        </w:rPr>
      </w:pPr>
      <w:r>
        <w:rPr>
          <w:rStyle w:val="Textoennegrita"/>
          <w:rFonts w:ascii="Calibri" w:hAnsi="Calibri" w:cs="Calibri"/>
          <w:color w:val="555555"/>
          <w:sz w:val="21"/>
          <w:szCs w:val="21"/>
        </w:rPr>
        <w:t>Art. 4</w:t>
      </w:r>
      <w:r>
        <w:rPr>
          <w:rFonts w:ascii="Calibri" w:hAnsi="Calibri" w:cs="Calibri"/>
          <w:color w:val="555555"/>
          <w:sz w:val="21"/>
          <w:szCs w:val="21"/>
        </w:rPr>
        <w:t> – En el caso de acciones conjuntas (</w:t>
      </w:r>
      <w:proofErr w:type="spellStart"/>
      <w:r>
        <w:rPr>
          <w:rFonts w:ascii="Calibri" w:hAnsi="Calibri" w:cs="Calibri"/>
          <w:color w:val="555555"/>
          <w:sz w:val="21"/>
          <w:szCs w:val="21"/>
        </w:rPr>
        <w:t>vgr</w:t>
      </w:r>
      <w:proofErr w:type="spellEnd"/>
      <w:r>
        <w:rPr>
          <w:rFonts w:ascii="Calibri" w:hAnsi="Calibri" w:cs="Calibri"/>
          <w:color w:val="555555"/>
          <w:sz w:val="21"/>
          <w:szCs w:val="21"/>
        </w:rPr>
        <w:t>.: contribuyente y responsable solidario) cada presentante, a los efectos de la autenticación, deberá ingresar a la Mesa de Entradas Virtual con su Clave Fiscal, de conformidad al art. 1 de la presente, y ratificar la presentación efectuada.</w:t>
      </w:r>
    </w:p>
    <w:p w14:paraId="5855292F" w14:textId="77777777" w:rsidR="0000772D" w:rsidRDefault="0000772D" w:rsidP="0000772D">
      <w:pPr>
        <w:pStyle w:val="NormalWeb"/>
        <w:spacing w:before="0" w:beforeAutospacing="0" w:after="0" w:afterAutospacing="0" w:line="300" w:lineRule="atLeast"/>
        <w:rPr>
          <w:rFonts w:ascii="Calibri" w:hAnsi="Calibri" w:cs="Calibri"/>
          <w:color w:val="555555"/>
          <w:sz w:val="21"/>
          <w:szCs w:val="21"/>
        </w:rPr>
      </w:pPr>
      <w:r>
        <w:rPr>
          <w:rStyle w:val="Textoennegrita"/>
          <w:rFonts w:ascii="Calibri" w:hAnsi="Calibri" w:cs="Calibri"/>
          <w:color w:val="555555"/>
          <w:sz w:val="21"/>
          <w:szCs w:val="21"/>
        </w:rPr>
        <w:t>Art. 5</w:t>
      </w:r>
      <w:r>
        <w:rPr>
          <w:rFonts w:ascii="Calibri" w:hAnsi="Calibri" w:cs="Calibri"/>
          <w:color w:val="555555"/>
          <w:sz w:val="21"/>
          <w:szCs w:val="21"/>
        </w:rPr>
        <w:t> – Las presentaciones serán realizadas en formato PDF, con un tope máximo de 50MB por archivo.</w:t>
      </w:r>
    </w:p>
    <w:p w14:paraId="5619C3D8" w14:textId="77777777" w:rsidR="0000772D" w:rsidRDefault="0000772D" w:rsidP="0000772D">
      <w:pPr>
        <w:pStyle w:val="NormalWeb"/>
        <w:spacing w:before="240" w:beforeAutospacing="0" w:after="240" w:afterAutospacing="0" w:line="300" w:lineRule="atLeast"/>
        <w:rPr>
          <w:rFonts w:ascii="Calibri" w:hAnsi="Calibri" w:cs="Calibri"/>
          <w:color w:val="555555"/>
          <w:sz w:val="21"/>
          <w:szCs w:val="21"/>
        </w:rPr>
      </w:pPr>
      <w:r>
        <w:rPr>
          <w:rFonts w:ascii="Calibri" w:hAnsi="Calibri" w:cs="Calibri"/>
          <w:color w:val="555555"/>
          <w:sz w:val="21"/>
          <w:szCs w:val="21"/>
        </w:rPr>
        <w:t>La presentación deberá ser subida al servicio, incorporada e identificada en archivos por separado –</w:t>
      </w:r>
      <w:proofErr w:type="spellStart"/>
      <w:r>
        <w:rPr>
          <w:rFonts w:ascii="Calibri" w:hAnsi="Calibri" w:cs="Calibri"/>
          <w:color w:val="555555"/>
          <w:sz w:val="21"/>
          <w:szCs w:val="21"/>
        </w:rPr>
        <w:t>vgr</w:t>
      </w:r>
      <w:proofErr w:type="spellEnd"/>
      <w:r>
        <w:rPr>
          <w:rFonts w:ascii="Calibri" w:hAnsi="Calibri" w:cs="Calibri"/>
          <w:color w:val="555555"/>
          <w:sz w:val="21"/>
          <w:szCs w:val="21"/>
        </w:rPr>
        <w:t>.: escrito inicial, acreditación de personería, el acto que se impugna junto a la constancia de notificación, comunicación a la jurisdicción involucrada de la acción ante la Comisión Arbitral y la prueba (facturas, remitos, etc.); contestaciones de traslados, recursos de apelación, etcétera–.</w:t>
      </w:r>
    </w:p>
    <w:p w14:paraId="357B1228" w14:textId="77777777" w:rsidR="0000772D" w:rsidRDefault="0000772D" w:rsidP="0000772D">
      <w:pPr>
        <w:pStyle w:val="NormalWeb"/>
        <w:spacing w:before="240" w:beforeAutospacing="0" w:after="240" w:afterAutospacing="0" w:line="300" w:lineRule="atLeast"/>
        <w:rPr>
          <w:rFonts w:ascii="Calibri" w:hAnsi="Calibri" w:cs="Calibri"/>
          <w:color w:val="555555"/>
          <w:sz w:val="21"/>
          <w:szCs w:val="21"/>
        </w:rPr>
      </w:pPr>
      <w:r>
        <w:rPr>
          <w:rFonts w:ascii="Calibri" w:hAnsi="Calibri" w:cs="Calibri"/>
          <w:color w:val="555555"/>
          <w:sz w:val="21"/>
          <w:szCs w:val="21"/>
        </w:rPr>
        <w:t>El sistema de Mesa de Entradas Virtual podrá requerir el suministro de datos complementarios a la presentación que se realiza, debiendo en tales circunstancias completar íntegramente los datos requeridos a fin de tener por realizada la misma.</w:t>
      </w:r>
    </w:p>
    <w:p w14:paraId="4D745675" w14:textId="77777777" w:rsidR="0000772D" w:rsidRDefault="0000772D" w:rsidP="0000772D">
      <w:pPr>
        <w:pStyle w:val="NormalWeb"/>
        <w:spacing w:before="0" w:beforeAutospacing="0" w:after="0" w:afterAutospacing="0" w:line="300" w:lineRule="atLeast"/>
        <w:rPr>
          <w:rFonts w:ascii="Calibri" w:hAnsi="Calibri" w:cs="Calibri"/>
          <w:color w:val="555555"/>
          <w:sz w:val="21"/>
          <w:szCs w:val="21"/>
        </w:rPr>
      </w:pPr>
      <w:r>
        <w:rPr>
          <w:rStyle w:val="Textoennegrita"/>
          <w:rFonts w:ascii="Calibri" w:hAnsi="Calibri" w:cs="Calibri"/>
          <w:color w:val="555555"/>
          <w:sz w:val="21"/>
          <w:szCs w:val="21"/>
        </w:rPr>
        <w:t>Art. 6</w:t>
      </w:r>
      <w:r>
        <w:rPr>
          <w:rFonts w:ascii="Calibri" w:hAnsi="Calibri" w:cs="Calibri"/>
          <w:color w:val="555555"/>
          <w:sz w:val="21"/>
          <w:szCs w:val="21"/>
        </w:rPr>
        <w:t> – Una vez realizada la presentación, el sistema emitirá un aviso que tendrá valor legal de cargo, y enviará a los correos electrónicos denunciados la constancia de recepción, la que detallará los datos de dicha presentación.</w:t>
      </w:r>
    </w:p>
    <w:p w14:paraId="03259CC0" w14:textId="77777777" w:rsidR="0000772D" w:rsidRDefault="0000772D" w:rsidP="0000772D">
      <w:pPr>
        <w:pStyle w:val="NormalWeb"/>
        <w:spacing w:before="0" w:beforeAutospacing="0" w:after="0" w:afterAutospacing="0" w:line="300" w:lineRule="atLeast"/>
        <w:rPr>
          <w:rFonts w:ascii="Calibri" w:hAnsi="Calibri" w:cs="Calibri"/>
          <w:color w:val="555555"/>
          <w:sz w:val="21"/>
          <w:szCs w:val="21"/>
        </w:rPr>
      </w:pPr>
      <w:r>
        <w:rPr>
          <w:rStyle w:val="Textoennegrita"/>
          <w:rFonts w:ascii="Calibri" w:hAnsi="Calibri" w:cs="Calibri"/>
          <w:color w:val="555555"/>
          <w:sz w:val="21"/>
          <w:szCs w:val="21"/>
        </w:rPr>
        <w:t>Art. 7 </w:t>
      </w:r>
      <w:r>
        <w:rPr>
          <w:rFonts w:ascii="Calibri" w:hAnsi="Calibri" w:cs="Calibri"/>
          <w:color w:val="555555"/>
          <w:sz w:val="21"/>
          <w:szCs w:val="21"/>
        </w:rPr>
        <w:t>– En ningún caso las presentaciones electrónicas serán agregadas en soporte papel a los expedientes, por lo que se llevará un registro en el sistema informático de la Comisión Arbitral a dichos efectos.</w:t>
      </w:r>
    </w:p>
    <w:p w14:paraId="54FB27D9" w14:textId="77777777" w:rsidR="0000772D" w:rsidRDefault="0000772D" w:rsidP="0000772D">
      <w:pPr>
        <w:pStyle w:val="NormalWeb"/>
        <w:spacing w:before="240" w:beforeAutospacing="0" w:after="240" w:afterAutospacing="0" w:line="300" w:lineRule="atLeast"/>
        <w:rPr>
          <w:rFonts w:ascii="Calibri" w:hAnsi="Calibri" w:cs="Calibri"/>
          <w:color w:val="555555"/>
          <w:sz w:val="21"/>
          <w:szCs w:val="21"/>
        </w:rPr>
      </w:pPr>
      <w:r>
        <w:rPr>
          <w:rFonts w:ascii="Calibri" w:hAnsi="Calibri" w:cs="Calibri"/>
          <w:color w:val="555555"/>
          <w:sz w:val="21"/>
          <w:szCs w:val="21"/>
        </w:rPr>
        <w:t xml:space="preserve">En caso de que el expediente sea requerido por otro organismo y lo solicite en soporte papel, por Secretaría se autorizará la impresión y certificación </w:t>
      </w:r>
      <w:proofErr w:type="gramStart"/>
      <w:r>
        <w:rPr>
          <w:rFonts w:ascii="Calibri" w:hAnsi="Calibri" w:cs="Calibri"/>
          <w:color w:val="555555"/>
          <w:sz w:val="21"/>
          <w:szCs w:val="21"/>
        </w:rPr>
        <w:t>del mismo</w:t>
      </w:r>
      <w:proofErr w:type="gramEnd"/>
      <w:r>
        <w:rPr>
          <w:rFonts w:ascii="Calibri" w:hAnsi="Calibri" w:cs="Calibri"/>
          <w:color w:val="555555"/>
          <w:sz w:val="21"/>
          <w:szCs w:val="21"/>
        </w:rPr>
        <w:t>.</w:t>
      </w:r>
    </w:p>
    <w:p w14:paraId="42348F38" w14:textId="77777777" w:rsidR="0000772D" w:rsidRDefault="0000772D" w:rsidP="0000772D">
      <w:pPr>
        <w:pStyle w:val="NormalWeb"/>
        <w:spacing w:before="0" w:beforeAutospacing="0" w:after="0" w:afterAutospacing="0" w:line="300" w:lineRule="atLeast"/>
        <w:rPr>
          <w:rFonts w:ascii="Calibri" w:hAnsi="Calibri" w:cs="Calibri"/>
          <w:color w:val="555555"/>
          <w:sz w:val="21"/>
          <w:szCs w:val="21"/>
        </w:rPr>
      </w:pPr>
      <w:r>
        <w:rPr>
          <w:rStyle w:val="Textoennegrita"/>
          <w:rFonts w:ascii="Calibri" w:hAnsi="Calibri" w:cs="Calibri"/>
          <w:color w:val="555555"/>
          <w:sz w:val="21"/>
          <w:szCs w:val="21"/>
        </w:rPr>
        <w:t>Art. 8</w:t>
      </w:r>
      <w:r>
        <w:rPr>
          <w:rFonts w:ascii="Calibri" w:hAnsi="Calibri" w:cs="Calibri"/>
          <w:color w:val="555555"/>
          <w:sz w:val="21"/>
          <w:szCs w:val="21"/>
        </w:rPr>
        <w:t xml:space="preserve"> – La consulta de </w:t>
      </w:r>
      <w:proofErr w:type="gramStart"/>
      <w:r>
        <w:rPr>
          <w:rFonts w:ascii="Calibri" w:hAnsi="Calibri" w:cs="Calibri"/>
          <w:color w:val="555555"/>
          <w:sz w:val="21"/>
          <w:szCs w:val="21"/>
        </w:rPr>
        <w:t>la actuaciones</w:t>
      </w:r>
      <w:proofErr w:type="gramEnd"/>
      <w:r>
        <w:rPr>
          <w:rFonts w:ascii="Calibri" w:hAnsi="Calibri" w:cs="Calibri"/>
          <w:color w:val="555555"/>
          <w:sz w:val="21"/>
          <w:szCs w:val="21"/>
        </w:rPr>
        <w:t xml:space="preserve"> será otorgada, en caso de corresponder, de conformidad con lo dispuesto en el art. 11 del Reglamento Procesal para las actuaciones ante la Comisión Arbitral y la Comisión Plenaria, mediante el Sistema de Notificaciones por Medios Electrónicos –alojado en el sitio web http://www.sifereweb.gob.ar “</w:t>
      </w:r>
      <w:proofErr w:type="spellStart"/>
      <w:r>
        <w:rPr>
          <w:rFonts w:ascii="Calibri" w:hAnsi="Calibri" w:cs="Calibri"/>
          <w:color w:val="555555"/>
          <w:sz w:val="21"/>
          <w:szCs w:val="21"/>
        </w:rPr>
        <w:t>SiFeRe</w:t>
      </w:r>
      <w:proofErr w:type="spellEnd"/>
      <w:r>
        <w:rPr>
          <w:rFonts w:ascii="Calibri" w:hAnsi="Calibri" w:cs="Calibri"/>
          <w:color w:val="555555"/>
          <w:sz w:val="21"/>
          <w:szCs w:val="21"/>
        </w:rPr>
        <w:t xml:space="preserve"> Web Consultas”–, dejando a disposición la parte pertinente del expediente solicitada.</w:t>
      </w:r>
    </w:p>
    <w:p w14:paraId="75672A96" w14:textId="77777777" w:rsidR="0000772D" w:rsidRDefault="0000772D" w:rsidP="0000772D">
      <w:pPr>
        <w:pStyle w:val="NormalWeb"/>
        <w:spacing w:before="0" w:beforeAutospacing="0" w:after="0" w:afterAutospacing="0" w:line="300" w:lineRule="atLeast"/>
        <w:rPr>
          <w:rFonts w:ascii="Calibri" w:hAnsi="Calibri" w:cs="Calibri"/>
          <w:color w:val="555555"/>
          <w:sz w:val="21"/>
          <w:szCs w:val="21"/>
        </w:rPr>
      </w:pPr>
      <w:r>
        <w:rPr>
          <w:rStyle w:val="Textoennegrita"/>
          <w:rFonts w:ascii="Calibri" w:hAnsi="Calibri" w:cs="Calibri"/>
          <w:color w:val="555555"/>
          <w:sz w:val="21"/>
          <w:szCs w:val="21"/>
        </w:rPr>
        <w:t>Art. 9</w:t>
      </w:r>
      <w:r>
        <w:rPr>
          <w:rFonts w:ascii="Calibri" w:hAnsi="Calibri" w:cs="Calibri"/>
          <w:color w:val="555555"/>
          <w:sz w:val="21"/>
          <w:szCs w:val="21"/>
        </w:rPr>
        <w:t> – En caso de inhabilitación del servicio por más de veinticuatro horas, la Presidencia de la Comisión Arbitral decidirá cómo considerar este hecho a los efectos del trámite del proceso.</w:t>
      </w:r>
    </w:p>
    <w:p w14:paraId="11D9B521" w14:textId="77777777" w:rsidR="0000772D" w:rsidRDefault="0000772D" w:rsidP="0000772D">
      <w:pPr>
        <w:pStyle w:val="NormalWeb"/>
        <w:spacing w:before="0" w:beforeAutospacing="0" w:after="0" w:afterAutospacing="0" w:line="300" w:lineRule="atLeast"/>
        <w:rPr>
          <w:rFonts w:ascii="Calibri" w:hAnsi="Calibri" w:cs="Calibri"/>
          <w:color w:val="555555"/>
          <w:sz w:val="21"/>
          <w:szCs w:val="21"/>
        </w:rPr>
      </w:pPr>
      <w:r>
        <w:rPr>
          <w:rStyle w:val="Textoennegrita"/>
          <w:rFonts w:ascii="Calibri" w:hAnsi="Calibri" w:cs="Calibri"/>
          <w:color w:val="555555"/>
          <w:sz w:val="21"/>
          <w:szCs w:val="21"/>
        </w:rPr>
        <w:t>Art. 10</w:t>
      </w:r>
      <w:r>
        <w:rPr>
          <w:rFonts w:ascii="Calibri" w:hAnsi="Calibri" w:cs="Calibri"/>
          <w:color w:val="555555"/>
          <w:sz w:val="21"/>
          <w:szCs w:val="21"/>
        </w:rPr>
        <w:t> – De forma.</w:t>
      </w:r>
    </w:p>
    <w:p w14:paraId="7E9791CF" w14:textId="4D7ADB36" w:rsidR="00E27A4F" w:rsidRPr="0000772D" w:rsidRDefault="00E27A4F" w:rsidP="0000772D"/>
    <w:sectPr w:rsidR="00E27A4F" w:rsidRPr="0000772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A4F"/>
    <w:rsid w:val="0000772D"/>
    <w:rsid w:val="00B6763D"/>
    <w:rsid w:val="00E27A4F"/>
    <w:rsid w:val="00FE538B"/>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7915A"/>
  <w15:chartTrackingRefBased/>
  <w15:docId w15:val="{4B0D171C-1BDB-490A-8635-899C7579E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A4F"/>
    <w:pPr>
      <w:spacing w:after="0" w:line="240" w:lineRule="auto"/>
    </w:pPr>
    <w:rPr>
      <w:rFonts w:ascii="Times New Roman" w:hAnsi="Times New Roman" w:cs="Times New Roman"/>
      <w:sz w:val="24"/>
      <w:szCs w:val="24"/>
      <w:lang w:eastAsia="es-AR"/>
    </w:rPr>
  </w:style>
  <w:style w:type="paragraph" w:styleId="Ttulo2">
    <w:name w:val="heading 2"/>
    <w:basedOn w:val="Normal"/>
    <w:link w:val="Ttulo2Car"/>
    <w:uiPriority w:val="9"/>
    <w:qFormat/>
    <w:rsid w:val="00B6763D"/>
    <w:pPr>
      <w:spacing w:before="100" w:beforeAutospacing="1" w:after="100" w:afterAutospacing="1"/>
      <w:outlineLvl w:val="1"/>
    </w:pPr>
    <w:rPr>
      <w:rFonts w:eastAsia="Times New Roman"/>
      <w:b/>
      <w:bCs/>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27A4F"/>
    <w:pPr>
      <w:spacing w:before="100" w:beforeAutospacing="1" w:after="100" w:afterAutospacing="1"/>
    </w:pPr>
  </w:style>
  <w:style w:type="character" w:customStyle="1" w:styleId="Ttulo2Car">
    <w:name w:val="Título 2 Car"/>
    <w:basedOn w:val="Fuentedeprrafopredeter"/>
    <w:link w:val="Ttulo2"/>
    <w:uiPriority w:val="9"/>
    <w:rsid w:val="00B6763D"/>
    <w:rPr>
      <w:rFonts w:ascii="Times New Roman" w:eastAsia="Times New Roman" w:hAnsi="Times New Roman" w:cs="Times New Roman"/>
      <w:b/>
      <w:bCs/>
      <w:sz w:val="36"/>
      <w:szCs w:val="36"/>
      <w:lang w:eastAsia="es-AR"/>
    </w:rPr>
  </w:style>
  <w:style w:type="paragraph" w:customStyle="1" w:styleId="copete">
    <w:name w:val="copete"/>
    <w:basedOn w:val="Normal"/>
    <w:rsid w:val="00B6763D"/>
    <w:pPr>
      <w:spacing w:before="100" w:beforeAutospacing="1" w:after="100" w:afterAutospacing="1"/>
    </w:pPr>
    <w:rPr>
      <w:rFonts w:eastAsia="Times New Roman"/>
    </w:rPr>
  </w:style>
  <w:style w:type="character" w:styleId="Hipervnculo">
    <w:name w:val="Hyperlink"/>
    <w:basedOn w:val="Fuentedeprrafopredeter"/>
    <w:uiPriority w:val="99"/>
    <w:semiHidden/>
    <w:unhideWhenUsed/>
    <w:rsid w:val="00B6763D"/>
    <w:rPr>
      <w:color w:val="0000FF"/>
      <w:u w:val="single"/>
    </w:rPr>
  </w:style>
  <w:style w:type="character" w:styleId="Textoennegrita">
    <w:name w:val="Strong"/>
    <w:basedOn w:val="Fuentedeprrafopredeter"/>
    <w:uiPriority w:val="22"/>
    <w:qFormat/>
    <w:rsid w:val="00B676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4185332">
      <w:bodyDiv w:val="1"/>
      <w:marLeft w:val="0"/>
      <w:marRight w:val="0"/>
      <w:marTop w:val="0"/>
      <w:marBottom w:val="0"/>
      <w:divBdr>
        <w:top w:val="none" w:sz="0" w:space="0" w:color="auto"/>
        <w:left w:val="none" w:sz="0" w:space="0" w:color="auto"/>
        <w:bottom w:val="none" w:sz="0" w:space="0" w:color="auto"/>
        <w:right w:val="none" w:sz="0" w:space="0" w:color="auto"/>
      </w:divBdr>
    </w:div>
    <w:div w:id="717049426">
      <w:bodyDiv w:val="1"/>
      <w:marLeft w:val="0"/>
      <w:marRight w:val="0"/>
      <w:marTop w:val="0"/>
      <w:marBottom w:val="0"/>
      <w:divBdr>
        <w:top w:val="none" w:sz="0" w:space="0" w:color="auto"/>
        <w:left w:val="none" w:sz="0" w:space="0" w:color="auto"/>
        <w:bottom w:val="none" w:sz="0" w:space="0" w:color="auto"/>
        <w:right w:val="none" w:sz="0" w:space="0" w:color="auto"/>
      </w:divBdr>
    </w:div>
    <w:div w:id="126041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data.triviasp.com.ar/files/parte4/rca1020.htm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866</Words>
  <Characters>4764</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Grinberg</dc:creator>
  <cp:keywords/>
  <dc:description/>
  <cp:lastModifiedBy>Daniel Borrego</cp:lastModifiedBy>
  <cp:revision>2</cp:revision>
  <dcterms:created xsi:type="dcterms:W3CDTF">2020-10-21T19:35:00Z</dcterms:created>
  <dcterms:modified xsi:type="dcterms:W3CDTF">2020-10-21T19:35:00Z</dcterms:modified>
</cp:coreProperties>
</file>